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DF2A76">
        <w:rPr>
          <w:rFonts w:ascii="Times New Roman" w:hAnsi="Times New Roman" w:cs="Times New Roman"/>
          <w:b/>
          <w:sz w:val="25"/>
          <w:szCs w:val="25"/>
        </w:rPr>
        <w:t>Село Гремячево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DF2A76">
        <w:rPr>
          <w:rFonts w:ascii="Times New Roman" w:hAnsi="Times New Roman" w:cs="Times New Roman"/>
          <w:sz w:val="25"/>
          <w:szCs w:val="25"/>
        </w:rPr>
        <w:t>Левицкой Татьяны Алексеевны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DF2A76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159 000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DF2A76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DF2A76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DF2A76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2 392, 83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A3132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DA348F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47A4E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6EB6"/>
    <w:rsid w:val="0025244C"/>
    <w:rsid w:val="00263291"/>
    <w:rsid w:val="0028425E"/>
    <w:rsid w:val="002A2EBA"/>
    <w:rsid w:val="002C0051"/>
    <w:rsid w:val="002E6EFF"/>
    <w:rsid w:val="002F107B"/>
    <w:rsid w:val="003330EA"/>
    <w:rsid w:val="003350C7"/>
    <w:rsid w:val="003442FF"/>
    <w:rsid w:val="00345D1F"/>
    <w:rsid w:val="0036423E"/>
    <w:rsid w:val="0037642E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3132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56E1E"/>
    <w:rsid w:val="00D77C52"/>
    <w:rsid w:val="00D857F2"/>
    <w:rsid w:val="00D951E6"/>
    <w:rsid w:val="00D96770"/>
    <w:rsid w:val="00DA348F"/>
    <w:rsid w:val="00DB5E07"/>
    <w:rsid w:val="00DF2A76"/>
    <w:rsid w:val="00E20DF5"/>
    <w:rsid w:val="00E22D3A"/>
    <w:rsid w:val="00E34E95"/>
    <w:rsid w:val="00E42C29"/>
    <w:rsid w:val="00E91A2B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8</cp:revision>
  <cp:lastPrinted>2021-12-04T12:49:00Z</cp:lastPrinted>
  <dcterms:created xsi:type="dcterms:W3CDTF">2021-12-28T08:54:00Z</dcterms:created>
  <dcterms:modified xsi:type="dcterms:W3CDTF">2021-12-30T05:57:00Z</dcterms:modified>
</cp:coreProperties>
</file>