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BB314D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BB314D">
        <w:rPr>
          <w:rFonts w:ascii="Times New Roman" w:hAnsi="Times New Roman" w:cs="Times New Roman"/>
          <w:sz w:val="26"/>
          <w:szCs w:val="26"/>
        </w:rPr>
        <w:t>Осипова Станислава Вячеславовича,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>Деревня Покровское</w:t>
      </w:r>
      <w:r w:rsidR="00574368">
        <w:rPr>
          <w:rFonts w:ascii="Times New Roman" w:hAnsi="Times New Roman" w:cs="Times New Roman"/>
          <w:sz w:val="26"/>
          <w:szCs w:val="26"/>
        </w:rPr>
        <w:t>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>Деревня Покровское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>Деревня Покровское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>Деревня Покровское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ED45FA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ED45FA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056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B314D">
              <w:rPr>
                <w:rFonts w:ascii="Times New Roman" w:hAnsi="Times New Roman" w:cs="Times New Roman"/>
                <w:b/>
                <w:sz w:val="26"/>
                <w:szCs w:val="26"/>
              </w:rPr>
              <w:t>Осипов С.В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BB314D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1 123 380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  <w:bookmarkStart w:id="3" w:name="_GoBack"/>
            <w:bookmarkEnd w:id="3"/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6240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D4F8E"/>
    <w:rsid w:val="00AE03ED"/>
    <w:rsid w:val="00B97F12"/>
    <w:rsid w:val="00BB1529"/>
    <w:rsid w:val="00BB314D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D45FA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2021-12-28T11:08:00Z</dcterms:created>
  <dcterms:modified xsi:type="dcterms:W3CDTF">2021-12-30T09:44:00Z</dcterms:modified>
</cp:coreProperties>
</file>