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B" w:rsidRDefault="005525EB" w:rsidP="00496D28">
      <w:pPr>
        <w:rPr>
          <w:b/>
          <w:sz w:val="32"/>
          <w:szCs w:val="32"/>
        </w:rPr>
      </w:pPr>
    </w:p>
    <w:p w:rsidR="005525EB" w:rsidRPr="00B727C5" w:rsidRDefault="005525EB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5525EB" w:rsidRPr="000D0806" w:rsidRDefault="005525EB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Песочня»</w:t>
      </w:r>
    </w:p>
    <w:p w:rsidR="005525EB" w:rsidRPr="00B727C5" w:rsidRDefault="005525EB" w:rsidP="00A662CC">
      <w:pPr>
        <w:rPr>
          <w:sz w:val="32"/>
          <w:szCs w:val="32"/>
        </w:rPr>
      </w:pPr>
    </w:p>
    <w:p w:rsidR="005525EB" w:rsidRDefault="005525EB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5525EB" w:rsidRPr="00B727C5" w:rsidRDefault="005525EB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д.Песочня</w:t>
      </w:r>
    </w:p>
    <w:p w:rsidR="005525EB" w:rsidRDefault="005525EB" w:rsidP="00A662CC">
      <w:pPr>
        <w:rPr>
          <w:b/>
          <w:sz w:val="28"/>
          <w:szCs w:val="28"/>
        </w:rPr>
      </w:pPr>
    </w:p>
    <w:p w:rsidR="005525EB" w:rsidRDefault="005525EB" w:rsidP="00A662CC">
      <w:pPr>
        <w:rPr>
          <w:b/>
          <w:sz w:val="28"/>
          <w:szCs w:val="28"/>
        </w:rPr>
      </w:pPr>
    </w:p>
    <w:p w:rsidR="005525EB" w:rsidRPr="000D0806" w:rsidRDefault="005525EB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>«</w:t>
      </w:r>
      <w:r>
        <w:rPr>
          <w:sz w:val="26"/>
          <w:szCs w:val="26"/>
        </w:rPr>
        <w:t>20»  января 2023</w:t>
      </w:r>
      <w:r w:rsidRPr="000D0806">
        <w:rPr>
          <w:sz w:val="26"/>
          <w:szCs w:val="26"/>
        </w:rPr>
        <w:t xml:space="preserve"> года       </w:t>
      </w:r>
      <w:r>
        <w:rPr>
          <w:sz w:val="26"/>
          <w:szCs w:val="26"/>
        </w:rPr>
        <w:t xml:space="preserve">                                                                            </w:t>
      </w:r>
      <w:r w:rsidRPr="000D0806">
        <w:rPr>
          <w:sz w:val="26"/>
          <w:szCs w:val="26"/>
        </w:rPr>
        <w:t xml:space="preserve">№ </w:t>
      </w:r>
      <w:r>
        <w:rPr>
          <w:sz w:val="26"/>
          <w:szCs w:val="26"/>
        </w:rPr>
        <w:t>222</w:t>
      </w:r>
    </w:p>
    <w:p w:rsidR="005525EB" w:rsidRPr="000D0806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0A0"/>
      </w:tblPr>
      <w:tblGrid>
        <w:gridCol w:w="6248"/>
      </w:tblGrid>
      <w:tr w:rsidR="005525EB" w:rsidRPr="002D3CF3" w:rsidTr="00DB755D">
        <w:trPr>
          <w:trHeight w:val="1362"/>
        </w:trPr>
        <w:tc>
          <w:tcPr>
            <w:tcW w:w="0" w:type="auto"/>
          </w:tcPr>
          <w:p w:rsidR="005525EB" w:rsidRPr="000D0806" w:rsidRDefault="005525EB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о муниципальном контроле в сфере благоустройства на территории сельского поселения «Деревня Песочня», утвержденное Решением Сельской Думы сельского поселения «Деревня Песочня» от «27» августа 2021 года       № 179</w:t>
            </w:r>
          </w:p>
        </w:tc>
      </w:tr>
    </w:tbl>
    <w:p w:rsidR="005525EB" w:rsidRPr="000D0806" w:rsidRDefault="005525E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5525EB" w:rsidRPr="00AD446D" w:rsidRDefault="005525EB" w:rsidP="00B60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«Деревня Песочня», Сельская Дума сельского поселения</w:t>
      </w:r>
      <w:r>
        <w:rPr>
          <w:b/>
          <w:sz w:val="26"/>
          <w:szCs w:val="26"/>
        </w:rPr>
        <w:t xml:space="preserve"> «</w:t>
      </w:r>
      <w:r w:rsidRPr="00AD446D">
        <w:rPr>
          <w:sz w:val="26"/>
          <w:szCs w:val="26"/>
        </w:rPr>
        <w:t xml:space="preserve">Деревня Песочня» </w:t>
      </w:r>
    </w:p>
    <w:p w:rsidR="005525EB" w:rsidRDefault="005525EB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525EB" w:rsidRPr="000D0806" w:rsidRDefault="005525EB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Pr="000D0806">
        <w:rPr>
          <w:b/>
          <w:sz w:val="26"/>
          <w:szCs w:val="26"/>
        </w:rPr>
        <w:t>:</w:t>
      </w:r>
    </w:p>
    <w:p w:rsidR="005525EB" w:rsidRPr="000D0806" w:rsidRDefault="005525E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5525EB" w:rsidRDefault="005525E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вПоложение о муниципальном контроле в сфере благоустройства на территории сельского поселения «Деревня Песочня», утвержденное Решением Сельской Думы сельского поселения «Деревня Песочня» от 27.08.2021г. № 179 изменения, изложив его в новой редакции (прилагается). </w:t>
      </w:r>
    </w:p>
    <w:p w:rsidR="005525EB" w:rsidRPr="000D0806" w:rsidRDefault="005525EB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D0806">
        <w:rPr>
          <w:sz w:val="26"/>
          <w:szCs w:val="26"/>
        </w:rPr>
        <w:t xml:space="preserve">. Настоящее Решение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5525EB" w:rsidRPr="000D0806" w:rsidRDefault="005525E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5EB" w:rsidRDefault="005525E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сельского поселения                                                     З.С.Магомедэминова</w:t>
      </w:r>
    </w:p>
    <w:p w:rsidR="005525EB" w:rsidRDefault="005525E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525EB" w:rsidRPr="000D0806" w:rsidRDefault="005525EB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Решению Сельской Думы</w:t>
      </w: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«Деревня Песочня» </w:t>
      </w:r>
    </w:p>
    <w:p w:rsidR="005525EB" w:rsidRDefault="005525E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«20» января 2023 г. № 222</w:t>
      </w:r>
    </w:p>
    <w:p w:rsidR="005525EB" w:rsidRDefault="005525EB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5525EB" w:rsidRPr="001D67A1" w:rsidRDefault="005525EB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5525EB" w:rsidRPr="001D67A1" w:rsidRDefault="005525EB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>
        <w:rPr>
          <w:b/>
          <w:bCs/>
          <w:color w:val="000000"/>
          <w:sz w:val="28"/>
          <w:szCs w:val="28"/>
        </w:rPr>
        <w:t>ДЕРЕВНЯ ПЕСОЧНЯ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5525EB" w:rsidRPr="00700821" w:rsidRDefault="005525EB" w:rsidP="001D67A1">
      <w:pPr>
        <w:spacing w:line="360" w:lineRule="auto"/>
        <w:jc w:val="center"/>
      </w:pPr>
    </w:p>
    <w:p w:rsidR="005525EB" w:rsidRPr="00861838" w:rsidRDefault="005525EB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5525EB" w:rsidRPr="00861838" w:rsidRDefault="005525EB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>
        <w:rPr>
          <w:color w:val="000000"/>
          <w:sz w:val="26"/>
          <w:szCs w:val="26"/>
        </w:rPr>
        <w:t xml:space="preserve">Деревня Песочня» </w:t>
      </w:r>
      <w:r w:rsidRPr="00861838">
        <w:rPr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5525EB" w:rsidRPr="00861838" w:rsidRDefault="005525EB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 от «</w:t>
      </w:r>
      <w:r>
        <w:rPr>
          <w:color w:val="000000"/>
          <w:sz w:val="26"/>
          <w:szCs w:val="26"/>
        </w:rPr>
        <w:t>12</w:t>
      </w:r>
      <w:r w:rsidRPr="00861838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октября 2018 </w:t>
      </w:r>
      <w:r w:rsidRPr="00861838">
        <w:rPr>
          <w:color w:val="000000"/>
          <w:sz w:val="26"/>
          <w:szCs w:val="26"/>
        </w:rPr>
        <w:t>г. №</w:t>
      </w:r>
      <w:r>
        <w:rPr>
          <w:color w:val="000000"/>
          <w:sz w:val="26"/>
          <w:szCs w:val="26"/>
        </w:rPr>
        <w:t xml:space="preserve"> 88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525EB" w:rsidRPr="00861838" w:rsidRDefault="005525EB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5525EB" w:rsidRPr="00861838" w:rsidRDefault="005525EB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</w:t>
      </w:r>
      <w:r>
        <w:rPr>
          <w:color w:val="000000"/>
          <w:sz w:val="26"/>
          <w:szCs w:val="26"/>
        </w:rPr>
        <w:t xml:space="preserve"> Глава администрации сельского поселения «Деревня Песочня» и ведущий эксперт администрации сельского поселения «Деревня Песочня»</w:t>
      </w:r>
      <w:r w:rsidRPr="00861838">
        <w:rPr>
          <w:color w:val="000000"/>
          <w:sz w:val="26"/>
          <w:szCs w:val="26"/>
        </w:rPr>
        <w:t xml:space="preserve"> 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525EB" w:rsidRPr="00861838" w:rsidRDefault="005525EB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525EB" w:rsidRPr="00861838" w:rsidRDefault="005525EB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d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d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525EB" w:rsidRPr="00861838" w:rsidRDefault="005525EB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5525EB" w:rsidRPr="00861838" w:rsidRDefault="005525EB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5525EB" w:rsidRPr="00861838" w:rsidRDefault="005525EB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525EB" w:rsidRPr="00861838" w:rsidRDefault="005525EB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5525EB" w:rsidRPr="00861838" w:rsidRDefault="005525EB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5525EB" w:rsidRPr="00861838" w:rsidRDefault="005525EB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5525EB" w:rsidRPr="00861838" w:rsidRDefault="005525EB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5525EB" w:rsidRPr="00861838" w:rsidRDefault="005525EB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5525EB" w:rsidRPr="00861838" w:rsidRDefault="005525EB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поскладированию твердых коммунальных отходов;</w:t>
      </w:r>
    </w:p>
    <w:p w:rsidR="005525EB" w:rsidRPr="00861838" w:rsidRDefault="005525EB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5525EB" w:rsidRPr="00861838" w:rsidRDefault="005525EB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1) элементы планировочной структуры (территории размещения </w:t>
      </w:r>
      <w:r w:rsidRPr="00861838">
        <w:rPr>
          <w:color w:val="000000"/>
          <w:sz w:val="26"/>
          <w:szCs w:val="26"/>
        </w:rPr>
        <w:lastRenderedPageBreak/>
        <w:t>садоводческих, огороднических некоммерческих объединений граждан);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5525EB" w:rsidRPr="00861838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5525EB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525EB" w:rsidRPr="00A12C8F" w:rsidRDefault="005525EB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rStyle w:val="ad"/>
          <w:color w:val="000000"/>
          <w:sz w:val="26"/>
          <w:szCs w:val="26"/>
          <w:u w:val="none"/>
        </w:rPr>
        <w:t>закон</w:t>
      </w:r>
      <w:r>
        <w:rPr>
          <w:rStyle w:val="ad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</w:t>
      </w:r>
      <w:r>
        <w:rPr>
          <w:color w:val="000000"/>
          <w:sz w:val="26"/>
          <w:szCs w:val="26"/>
        </w:rPr>
        <w:t xml:space="preserve">» с использованием информационных систем (ведения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систем).</w:t>
      </w:r>
    </w:p>
    <w:p w:rsidR="005525EB" w:rsidRPr="00861838" w:rsidRDefault="005525EB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5525EB" w:rsidRDefault="005525EB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5525EB" w:rsidRPr="00C42DF3" w:rsidRDefault="005525EB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5525EB" w:rsidRPr="00336D32" w:rsidRDefault="005525EB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>
        <w:rPr>
          <w:color w:val="000000"/>
          <w:sz w:val="26"/>
          <w:szCs w:val="26"/>
        </w:rPr>
        <w:t>Деревня Песочня</w:t>
      </w:r>
      <w:r w:rsidRPr="00336D32">
        <w:rPr>
          <w:color w:val="000000"/>
          <w:sz w:val="26"/>
          <w:szCs w:val="26"/>
        </w:rPr>
        <w:t xml:space="preserve">», в </w:t>
      </w:r>
      <w:r w:rsidRPr="00E34CF7">
        <w:rPr>
          <w:sz w:val="26"/>
          <w:szCs w:val="26"/>
        </w:rPr>
        <w:t xml:space="preserve">специальном разделе, посвященном контрольной деятельности </w:t>
      </w:r>
      <w:r w:rsidRPr="00336D32">
        <w:rPr>
          <w:color w:val="000000"/>
          <w:sz w:val="26"/>
          <w:szCs w:val="26"/>
        </w:rPr>
        <w:t>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525EB" w:rsidRPr="00861838" w:rsidRDefault="005525EB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5525EB" w:rsidRPr="00C456CD" w:rsidRDefault="005525EB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</w:t>
      </w:r>
      <w:r w:rsidRPr="00C456CD">
        <w:rPr>
          <w:color w:val="000000"/>
          <w:sz w:val="26"/>
          <w:szCs w:val="26"/>
          <w:shd w:val="clear" w:color="auto" w:fill="FFFFFF"/>
        </w:rPr>
        <w:lastRenderedPageBreak/>
        <w:t>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5525EB" w:rsidRPr="00861838" w:rsidRDefault="005525EB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5525EB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5525EB" w:rsidRPr="00861838" w:rsidRDefault="005525EB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администрацииили должностным лицом, уполномоченным осуществлять контроль.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5525EB" w:rsidRPr="00861838" w:rsidRDefault="005525EB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C42DF3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5525EB" w:rsidRPr="00861838" w:rsidRDefault="005525EB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5525EB" w:rsidRPr="00861838" w:rsidRDefault="005525EB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525EB" w:rsidRPr="00861838" w:rsidRDefault="005525EB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5525EB" w:rsidRPr="004F03F7" w:rsidRDefault="005525EB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525EB" w:rsidRPr="004F03F7" w:rsidRDefault="005525EB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525EB" w:rsidRPr="00861838" w:rsidRDefault="005525EB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</w:t>
      </w:r>
      <w:r w:rsidRPr="004F03F7">
        <w:rPr>
          <w:color w:val="000000"/>
          <w:sz w:val="26"/>
          <w:szCs w:val="26"/>
        </w:rPr>
        <w:lastRenderedPageBreak/>
        <w:t xml:space="preserve">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5525EB" w:rsidRPr="00861838" w:rsidRDefault="005525EB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525EB" w:rsidRPr="00C42DF3" w:rsidRDefault="005525EB" w:rsidP="00321A8D">
      <w:pPr>
        <w:ind w:firstLine="567"/>
        <w:rPr>
          <w:color w:val="000000"/>
          <w:sz w:val="26"/>
          <w:szCs w:val="26"/>
        </w:rPr>
      </w:pPr>
    </w:p>
    <w:p w:rsidR="005525EB" w:rsidRPr="00C42DF3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861838" w:rsidRDefault="005525EB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>
        <w:rPr>
          <w:sz w:val="26"/>
          <w:szCs w:val="26"/>
        </w:rPr>
        <w:t>Деревня Песочня»</w:t>
      </w:r>
      <w:r w:rsidRPr="00861838">
        <w:rPr>
          <w:sz w:val="26"/>
          <w:szCs w:val="26"/>
        </w:rPr>
        <w:t xml:space="preserve"> могут быть обжалованы в судебном порядке.</w:t>
      </w:r>
    </w:p>
    <w:p w:rsidR="005525EB" w:rsidRPr="00861838" w:rsidRDefault="005525EB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5525EB" w:rsidRPr="00C42DF3" w:rsidRDefault="005525EB" w:rsidP="00C42DF3">
      <w:pPr>
        <w:ind w:firstLine="567"/>
        <w:rPr>
          <w:color w:val="000000"/>
          <w:sz w:val="26"/>
          <w:szCs w:val="26"/>
        </w:rPr>
      </w:pPr>
    </w:p>
    <w:p w:rsidR="005525EB" w:rsidRPr="00C42DF3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5525EB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>
        <w:rPr>
          <w:b/>
          <w:color w:val="000000"/>
          <w:sz w:val="26"/>
          <w:szCs w:val="26"/>
        </w:rPr>
        <w:t>; индикаторы риска нарушения обязательных требований</w:t>
      </w:r>
    </w:p>
    <w:p w:rsidR="005525EB" w:rsidRPr="00C42DF3" w:rsidRDefault="005525EB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5525EB" w:rsidRPr="00861838" w:rsidRDefault="005525EB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525EB" w:rsidRDefault="005525EB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>
        <w:rPr>
          <w:sz w:val="26"/>
          <w:szCs w:val="26"/>
        </w:rPr>
        <w:t>Деревня Песочня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«Деревня Песочня» (прилагаются).</w:t>
      </w:r>
    </w:p>
    <w:p w:rsidR="005525EB" w:rsidRPr="00861838" w:rsidRDefault="005525EB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5525EB" w:rsidRPr="00861838" w:rsidRDefault="005525EB" w:rsidP="00332BDA">
      <w:pPr>
        <w:jc w:val="both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Default="005525EB" w:rsidP="006227D3">
      <w:pPr>
        <w:jc w:val="center"/>
        <w:rPr>
          <w:b/>
          <w:sz w:val="28"/>
          <w:szCs w:val="28"/>
        </w:rPr>
      </w:pPr>
    </w:p>
    <w:p w:rsidR="005525EB" w:rsidRPr="00861838" w:rsidRDefault="005525EB" w:rsidP="006227D3">
      <w:pPr>
        <w:jc w:val="center"/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Default="005525EB" w:rsidP="004E2F5F">
      <w:pPr>
        <w:rPr>
          <w:b/>
          <w:sz w:val="26"/>
          <w:szCs w:val="26"/>
        </w:rPr>
      </w:pPr>
    </w:p>
    <w:p w:rsidR="005525EB" w:rsidRPr="00861838" w:rsidRDefault="005525EB" w:rsidP="004E2F5F">
      <w:pPr>
        <w:rPr>
          <w:b/>
          <w:sz w:val="26"/>
          <w:szCs w:val="26"/>
        </w:rPr>
      </w:pPr>
    </w:p>
    <w:p w:rsidR="005525EB" w:rsidRPr="00861838" w:rsidRDefault="005525EB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Pr="00861838">
        <w:rPr>
          <w:sz w:val="26"/>
          <w:szCs w:val="26"/>
        </w:rPr>
        <w:t>1 к Положению о муниципальном</w:t>
      </w:r>
    </w:p>
    <w:p w:rsidR="005525EB" w:rsidRPr="00861838" w:rsidRDefault="005525EB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5525EB" w:rsidRPr="00861838" w:rsidRDefault="005525EB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>Деревня Песочня</w:t>
      </w:r>
      <w:r w:rsidRPr="00861838">
        <w:rPr>
          <w:sz w:val="26"/>
          <w:szCs w:val="26"/>
        </w:rPr>
        <w:t>»</w:t>
      </w: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sz w:val="26"/>
          <w:szCs w:val="26"/>
        </w:rPr>
      </w:pPr>
    </w:p>
    <w:p w:rsidR="005525EB" w:rsidRPr="00861838" w:rsidRDefault="005525EB" w:rsidP="006227D3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5525EB" w:rsidRPr="00861838" w:rsidRDefault="005525EB" w:rsidP="006227D3">
      <w:pPr>
        <w:jc w:val="center"/>
        <w:rPr>
          <w:b/>
          <w:bCs/>
          <w:color w:val="000000"/>
          <w:sz w:val="26"/>
          <w:szCs w:val="26"/>
        </w:rPr>
      </w:pP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5525EB" w:rsidRPr="00861838" w:rsidRDefault="005525EB" w:rsidP="006227D3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6164"/>
        <w:gridCol w:w="2942"/>
      </w:tblGrid>
      <w:tr w:rsidR="005525EB" w:rsidRPr="00861838" w:rsidTr="007D30EE">
        <w:tc>
          <w:tcPr>
            <w:tcW w:w="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5525EB" w:rsidRPr="00861838" w:rsidTr="007D30EE">
        <w:trPr>
          <w:trHeight w:val="1011"/>
        </w:trPr>
        <w:tc>
          <w:tcPr>
            <w:tcW w:w="465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5525EB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B" w:rsidRPr="00861838" w:rsidRDefault="005525EB" w:rsidP="006227D3">
            <w:pPr>
              <w:pStyle w:val="ac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5525EB" w:rsidRPr="00861838" w:rsidRDefault="005525EB" w:rsidP="006227D3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5525EB" w:rsidRPr="00861838" w:rsidRDefault="005525EB" w:rsidP="006227D3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>
        <w:rPr>
          <w:b/>
          <w:bCs/>
          <w:color w:val="000000"/>
          <w:sz w:val="26"/>
          <w:szCs w:val="26"/>
        </w:rPr>
        <w:t>Деревня Песочня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5525EB" w:rsidRPr="00861838" w:rsidRDefault="005525EB" w:rsidP="006227D3">
      <w:pPr>
        <w:pStyle w:val="ac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525EB" w:rsidRPr="00861838" w:rsidRDefault="005525EB" w:rsidP="006227D3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8) количество предостережений о недопустимости нарушения обязательных требований, объявленных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525EB" w:rsidRPr="00861838" w:rsidRDefault="005525EB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525EB" w:rsidRPr="00861838" w:rsidRDefault="005525EB" w:rsidP="006227D3">
      <w:pPr>
        <w:ind w:firstLine="426"/>
        <w:jc w:val="both"/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6227D3">
      <w:pPr>
        <w:spacing w:line="220" w:lineRule="atLeast"/>
        <w:rPr>
          <w:b/>
          <w:sz w:val="26"/>
          <w:szCs w:val="26"/>
        </w:rPr>
      </w:pPr>
    </w:p>
    <w:p w:rsidR="005525EB" w:rsidRPr="00861838" w:rsidRDefault="005525EB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Default="005525EB" w:rsidP="009A2273">
      <w:pPr>
        <w:jc w:val="right"/>
        <w:rPr>
          <w:sz w:val="26"/>
          <w:szCs w:val="26"/>
        </w:rPr>
      </w:pPr>
    </w:p>
    <w:p w:rsidR="005525EB" w:rsidRDefault="005525EB" w:rsidP="009A2273">
      <w:pPr>
        <w:jc w:val="right"/>
        <w:rPr>
          <w:sz w:val="26"/>
          <w:szCs w:val="26"/>
        </w:rPr>
      </w:pPr>
    </w:p>
    <w:p w:rsidR="005525EB" w:rsidRDefault="005525EB" w:rsidP="009A2273">
      <w:pPr>
        <w:jc w:val="right"/>
        <w:rPr>
          <w:sz w:val="26"/>
          <w:szCs w:val="26"/>
        </w:rPr>
      </w:pPr>
    </w:p>
    <w:p w:rsidR="005525EB" w:rsidRDefault="005525EB" w:rsidP="009A2273">
      <w:pPr>
        <w:jc w:val="right"/>
        <w:rPr>
          <w:sz w:val="26"/>
          <w:szCs w:val="26"/>
        </w:rPr>
      </w:pPr>
    </w:p>
    <w:p w:rsidR="005525EB" w:rsidRPr="00861838" w:rsidRDefault="005525EB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5525EB" w:rsidRPr="00861838" w:rsidRDefault="005525EB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5525EB" w:rsidRPr="00861838" w:rsidRDefault="005525EB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>Деревня Песочня</w:t>
      </w:r>
      <w:r w:rsidRPr="00861838">
        <w:rPr>
          <w:sz w:val="26"/>
          <w:szCs w:val="26"/>
        </w:rPr>
        <w:t>»</w:t>
      </w:r>
    </w:p>
    <w:p w:rsidR="005525EB" w:rsidRDefault="005525EB" w:rsidP="00321A8D">
      <w:pPr>
        <w:pStyle w:val="ConsPlusNormal"/>
        <w:ind w:firstLine="0"/>
        <w:rPr>
          <w:color w:val="000000"/>
        </w:rPr>
      </w:pPr>
    </w:p>
    <w:p w:rsidR="005525EB" w:rsidRPr="00E51CC2" w:rsidRDefault="005525EB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5525EB" w:rsidRPr="00E51CC2" w:rsidRDefault="005525EB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сельского поселения «</w:t>
      </w:r>
      <w:r>
        <w:rPr>
          <w:rFonts w:cs="Arial"/>
          <w:sz w:val="26"/>
          <w:szCs w:val="26"/>
        </w:rPr>
        <w:t>Деревня Песочня</w:t>
      </w:r>
      <w:r w:rsidRPr="00E51CC2">
        <w:rPr>
          <w:rFonts w:cs="Arial"/>
          <w:sz w:val="26"/>
          <w:szCs w:val="26"/>
        </w:rPr>
        <w:t xml:space="preserve">» муниципального контроля </w:t>
      </w:r>
      <w:r>
        <w:rPr>
          <w:rFonts w:cs="Arial"/>
          <w:sz w:val="26"/>
          <w:szCs w:val="26"/>
        </w:rPr>
        <w:t xml:space="preserve">в сфере благоустройства </w:t>
      </w:r>
      <w:bookmarkStart w:id="1" w:name="_GoBack"/>
      <w:bookmarkEnd w:id="1"/>
    </w:p>
    <w:p w:rsidR="005525EB" w:rsidRPr="00E51CC2" w:rsidRDefault="005525EB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5525EB" w:rsidRPr="00FE30DE" w:rsidRDefault="005525EB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5525EB" w:rsidRPr="00E51CC2" w:rsidRDefault="005525EB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5525EB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17" w:rsidRDefault="00C01617" w:rsidP="00866CE2">
      <w:r>
        <w:separator/>
      </w:r>
    </w:p>
  </w:endnote>
  <w:endnote w:type="continuationSeparator" w:id="0">
    <w:p w:rsidR="00C01617" w:rsidRDefault="00C01617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17" w:rsidRDefault="00C01617" w:rsidP="00866CE2">
      <w:r>
        <w:separator/>
      </w:r>
    </w:p>
  </w:footnote>
  <w:footnote w:type="continuationSeparator" w:id="0">
    <w:p w:rsidR="00C01617" w:rsidRDefault="00C01617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6096F"/>
    <w:multiLevelType w:val="multilevel"/>
    <w:tmpl w:val="3DAA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19B8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4212D"/>
    <w:rsid w:val="0024491E"/>
    <w:rsid w:val="0025230E"/>
    <w:rsid w:val="00261ED8"/>
    <w:rsid w:val="00265210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0068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E2F5F"/>
    <w:rsid w:val="004F02C7"/>
    <w:rsid w:val="004F03F7"/>
    <w:rsid w:val="004F0B89"/>
    <w:rsid w:val="004F3BE0"/>
    <w:rsid w:val="00506695"/>
    <w:rsid w:val="0050770A"/>
    <w:rsid w:val="00517A4C"/>
    <w:rsid w:val="00524E97"/>
    <w:rsid w:val="00536CB8"/>
    <w:rsid w:val="005525EB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0821"/>
    <w:rsid w:val="00701782"/>
    <w:rsid w:val="007243FD"/>
    <w:rsid w:val="007831DC"/>
    <w:rsid w:val="00791F9C"/>
    <w:rsid w:val="007949D2"/>
    <w:rsid w:val="007A2809"/>
    <w:rsid w:val="007B4F2C"/>
    <w:rsid w:val="007C45E5"/>
    <w:rsid w:val="007D1C58"/>
    <w:rsid w:val="007D30EE"/>
    <w:rsid w:val="007D525C"/>
    <w:rsid w:val="007D7023"/>
    <w:rsid w:val="007E0C10"/>
    <w:rsid w:val="00805D95"/>
    <w:rsid w:val="00807F7E"/>
    <w:rsid w:val="00832B65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947A4"/>
    <w:rsid w:val="009A2273"/>
    <w:rsid w:val="009B3AAB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D446D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01617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37007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34CF7"/>
    <w:rsid w:val="00E47DCB"/>
    <w:rsid w:val="00E51CC2"/>
    <w:rsid w:val="00E5788D"/>
    <w:rsid w:val="00E609AB"/>
    <w:rsid w:val="00E60D19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99"/>
    <w:qFormat/>
    <w:rsid w:val="006D1C43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6E5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0068"/>
    <w:rPr>
      <w:rFonts w:cs="Times New Roman"/>
      <w:sz w:val="2"/>
    </w:rPr>
  </w:style>
  <w:style w:type="table" w:styleId="a6">
    <w:name w:val="Table Grid"/>
    <w:basedOn w:val="a1"/>
    <w:uiPriority w:val="99"/>
    <w:rsid w:val="00B727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701782"/>
    <w:rPr>
      <w:sz w:val="22"/>
    </w:rPr>
  </w:style>
  <w:style w:type="paragraph" w:styleId="a7">
    <w:name w:val="List Paragraph"/>
    <w:basedOn w:val="a"/>
    <w:link w:val="a8"/>
    <w:uiPriority w:val="99"/>
    <w:qFormat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9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9">
    <w:name w:val="footnote reference"/>
    <w:basedOn w:val="a0"/>
    <w:link w:val="1"/>
    <w:uiPriority w:val="99"/>
    <w:locked/>
    <w:rsid w:val="008F1B92"/>
    <w:rPr>
      <w:rFonts w:ascii="Calibri" w:hAnsi="Calibri" w:cs="Times New Roman"/>
      <w:vertAlign w:val="superscript"/>
    </w:rPr>
  </w:style>
  <w:style w:type="paragraph" w:styleId="aa">
    <w:name w:val="footnote text"/>
    <w:basedOn w:val="a"/>
    <w:link w:val="ab"/>
    <w:uiPriority w:val="99"/>
    <w:rsid w:val="008F1B92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locked/>
    <w:rsid w:val="008F1B92"/>
    <w:rPr>
      <w:rFonts w:cs="Times New Roman"/>
      <w:lang w:eastAsia="ar-SA" w:bidi="ar-SA"/>
    </w:rPr>
  </w:style>
  <w:style w:type="paragraph" w:styleId="ac">
    <w:name w:val="Normal (Web)"/>
    <w:basedOn w:val="a"/>
    <w:uiPriority w:val="99"/>
    <w:rsid w:val="0065715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1D67A1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1D67A1"/>
    <w:pPr>
      <w:widowControl w:val="0"/>
      <w:suppressAutoHyphens/>
      <w:snapToGrid w:val="0"/>
    </w:pPr>
    <w:rPr>
      <w:rFonts w:ascii="Arial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uiPriority w:val="99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1D67A1"/>
    <w:pPr>
      <w:suppressAutoHyphens/>
    </w:pPr>
    <w:rPr>
      <w:rFonts w:ascii="Calibri" w:hAnsi="Calibri" w:cs="Calibri"/>
      <w:lang w:eastAsia="zh-CN"/>
    </w:rPr>
  </w:style>
  <w:style w:type="character" w:customStyle="1" w:styleId="11">
    <w:name w:val="Текст сноски Знак1"/>
    <w:uiPriority w:val="99"/>
    <w:rsid w:val="001D67A1"/>
    <w:rPr>
      <w:rFonts w:ascii="Times New Roman" w:hAnsi="Times New Roman"/>
      <w:sz w:val="20"/>
      <w:lang w:eastAsia="ru-RU"/>
    </w:rPr>
  </w:style>
  <w:style w:type="paragraph" w:styleId="ae">
    <w:name w:val="annotation text"/>
    <w:basedOn w:val="a"/>
    <w:link w:val="af"/>
    <w:uiPriority w:val="99"/>
    <w:rsid w:val="001D67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1D67A1"/>
    <w:rPr>
      <w:rFonts w:cs="Times New Roman"/>
    </w:rPr>
  </w:style>
  <w:style w:type="paragraph" w:styleId="2">
    <w:name w:val="Body Text 2"/>
    <w:basedOn w:val="a"/>
    <w:link w:val="20"/>
    <w:uiPriority w:val="99"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D67A1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9A2273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locked/>
    <w:rsid w:val="009A227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4097</Words>
  <Characters>23357</Characters>
  <Application>Microsoft Office Word</Application>
  <DocSecurity>0</DocSecurity>
  <Lines>194</Lines>
  <Paragraphs>54</Paragraphs>
  <ScaleCrop>false</ScaleCrop>
  <Company>MoBIL GROUP</Company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REDPC</cp:lastModifiedBy>
  <cp:revision>2</cp:revision>
  <cp:lastPrinted>2022-03-16T07:58:00Z</cp:lastPrinted>
  <dcterms:created xsi:type="dcterms:W3CDTF">2023-01-26T11:36:00Z</dcterms:created>
  <dcterms:modified xsi:type="dcterms:W3CDTF">2023-01-26T11:36:00Z</dcterms:modified>
</cp:coreProperties>
</file>